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3527E" w14:textId="77777777" w:rsidR="00B27A7C" w:rsidRPr="00B27A7C" w:rsidRDefault="00B27A7C" w:rsidP="00B27A7C">
      <w:pPr>
        <w:jc w:val="center"/>
        <w:rPr>
          <w:rFonts w:ascii="Arial" w:eastAsia="Arial" w:hAnsi="Arial" w:cs="Arial"/>
          <w:b/>
          <w:bCs/>
          <w:sz w:val="24"/>
          <w:szCs w:val="24"/>
          <w:u w:val="single"/>
          <w:rtl/>
        </w:rPr>
      </w:pPr>
    </w:p>
    <w:p w14:paraId="521FB27E" w14:textId="766CA471" w:rsidR="00B27A7C" w:rsidRPr="00B27A7C" w:rsidRDefault="00B27A7C" w:rsidP="00B27A7C">
      <w:pPr>
        <w:jc w:val="center"/>
        <w:rPr>
          <w:rFonts w:ascii="Arial" w:eastAsia="Arial" w:hAnsi="Arial" w:cs="Arial"/>
          <w:b/>
          <w:bCs/>
          <w:sz w:val="32"/>
          <w:szCs w:val="32"/>
          <w:u w:val="single"/>
        </w:rPr>
      </w:pPr>
      <w:r w:rsidRPr="00B27A7C">
        <w:rPr>
          <w:rFonts w:ascii="Arial" w:eastAsia="Arial" w:hAnsi="Arial" w:cs="Arial"/>
          <w:b/>
          <w:bCs/>
          <w:sz w:val="32"/>
          <w:szCs w:val="32"/>
          <w:u w:val="single"/>
        </w:rPr>
        <w:t>TAD Excellence Program for Doctoral Students in Artificial Intelligence and Data Science</w:t>
      </w:r>
      <w:r w:rsidR="005531B2">
        <w:rPr>
          <w:rFonts w:ascii="Arial" w:eastAsia="Arial" w:hAnsi="Arial" w:cs="Arial"/>
          <w:b/>
          <w:bCs/>
          <w:sz w:val="32"/>
          <w:szCs w:val="32"/>
          <w:u w:val="single"/>
        </w:rPr>
        <w:t xml:space="preserve"> 2026-2027</w:t>
      </w:r>
    </w:p>
    <w:p w14:paraId="71A93D58" w14:textId="77777777" w:rsidR="00B27A7C" w:rsidRDefault="00B27A7C" w:rsidP="00B27A7C">
      <w:pPr>
        <w:rPr>
          <w:rFonts w:ascii="Arial" w:eastAsia="Arial" w:hAnsi="Arial" w:cs="Arial"/>
          <w:b/>
          <w:bCs/>
          <w:sz w:val="24"/>
          <w:szCs w:val="24"/>
        </w:rPr>
      </w:pPr>
    </w:p>
    <w:p w14:paraId="250F774C" w14:textId="4FA7C123" w:rsidR="00B27A7C" w:rsidRPr="00B27A7C" w:rsidRDefault="00B27A7C" w:rsidP="00B27A7C">
      <w:pPr>
        <w:rPr>
          <w:rFonts w:ascii="Arial" w:eastAsia="Arial" w:hAnsi="Arial" w:cs="Arial"/>
          <w:b/>
          <w:bCs/>
        </w:rPr>
      </w:pPr>
      <w:r w:rsidRPr="00B27A7C">
        <w:rPr>
          <w:rFonts w:ascii="Arial" w:eastAsia="Arial" w:hAnsi="Arial" w:cs="Arial"/>
          <w:b/>
          <w:bCs/>
        </w:rPr>
        <w:t>Program Overview:</w:t>
      </w:r>
    </w:p>
    <w:p w14:paraId="5D606B2F" w14:textId="48FD053D" w:rsidR="00B27A7C" w:rsidRPr="00B27A7C" w:rsidRDefault="00B27A7C" w:rsidP="00B27A7C">
      <w:pPr>
        <w:rPr>
          <w:rFonts w:ascii="Arial" w:eastAsia="Arial" w:hAnsi="Arial" w:cs="Arial"/>
        </w:rPr>
      </w:pPr>
      <w:r w:rsidRPr="00B27A7C">
        <w:rPr>
          <w:rFonts w:ascii="Arial" w:eastAsia="Arial" w:hAnsi="Arial" w:cs="Arial"/>
        </w:rPr>
        <w:t xml:space="preserve">The TAD Excellence Program for doctoral students in the fields of Artificial Intelligence (AI) and Data Science </w:t>
      </w:r>
      <w:r w:rsidR="00724704">
        <w:rPr>
          <w:rFonts w:ascii="Arial" w:eastAsia="Arial" w:hAnsi="Arial" w:cs="Arial"/>
        </w:rPr>
        <w:t xml:space="preserve">(DS) </w:t>
      </w:r>
      <w:r w:rsidRPr="00B27A7C">
        <w:rPr>
          <w:rFonts w:ascii="Arial" w:eastAsia="Arial" w:hAnsi="Arial" w:cs="Arial"/>
        </w:rPr>
        <w:t xml:space="preserve">is designed to encourage PhD studies in these fields at Tel Aviv University and to provide outstanding students with </w:t>
      </w:r>
      <w:proofErr w:type="gramStart"/>
      <w:r w:rsidRPr="00B27A7C">
        <w:rPr>
          <w:rFonts w:ascii="Arial" w:eastAsia="Arial" w:hAnsi="Arial" w:cs="Arial"/>
        </w:rPr>
        <w:t>a profound</w:t>
      </w:r>
      <w:proofErr w:type="gramEnd"/>
      <w:r w:rsidRPr="00B27A7C">
        <w:rPr>
          <w:rFonts w:ascii="Arial" w:eastAsia="Arial" w:hAnsi="Arial" w:cs="Arial"/>
        </w:rPr>
        <w:t xml:space="preserve"> and interdisciplinary academic experience.</w:t>
      </w:r>
    </w:p>
    <w:p w14:paraId="56FCDC57" w14:textId="77777777" w:rsidR="00B27A7C" w:rsidRPr="00B27A7C" w:rsidRDefault="00B27A7C" w:rsidP="00B27A7C">
      <w:pPr>
        <w:rPr>
          <w:rFonts w:ascii="Arial" w:eastAsia="Arial" w:hAnsi="Arial" w:cs="Arial"/>
          <w:b/>
          <w:bCs/>
        </w:rPr>
      </w:pPr>
      <w:r w:rsidRPr="00B27A7C">
        <w:rPr>
          <w:rFonts w:ascii="Arial" w:eastAsia="Arial" w:hAnsi="Arial" w:cs="Arial"/>
          <w:b/>
          <w:bCs/>
        </w:rPr>
        <w:t>Research Areas (and Faculties):</w:t>
      </w:r>
    </w:p>
    <w:p w14:paraId="3D9DCF85" w14:textId="449977E0" w:rsidR="00B27A7C" w:rsidRPr="00B27A7C" w:rsidRDefault="00B27A7C" w:rsidP="00B27A7C">
      <w:pPr>
        <w:rPr>
          <w:rFonts w:ascii="Arial" w:eastAsia="Arial" w:hAnsi="Arial" w:cs="Arial"/>
        </w:rPr>
      </w:pPr>
      <w:r w:rsidRPr="00B27A7C">
        <w:rPr>
          <w:rFonts w:ascii="Arial" w:eastAsia="Arial" w:hAnsi="Arial" w:cs="Arial"/>
        </w:rPr>
        <w:t xml:space="preserve">The program is open to students from all faculties, whose research topics involve AI or </w:t>
      </w:r>
      <w:r w:rsidR="00724704">
        <w:rPr>
          <w:rFonts w:ascii="Arial" w:eastAsia="Arial" w:hAnsi="Arial" w:cs="Arial"/>
        </w:rPr>
        <w:t>DS</w:t>
      </w:r>
      <w:r w:rsidRPr="00B27A7C">
        <w:rPr>
          <w:rFonts w:ascii="Arial" w:eastAsia="Arial" w:hAnsi="Arial" w:cs="Arial"/>
        </w:rPr>
        <w:t>. Priority will be given to researchers working on the core topics of AI and D</w:t>
      </w:r>
      <w:r w:rsidR="00724704">
        <w:rPr>
          <w:rFonts w:ascii="Arial" w:eastAsia="Arial" w:hAnsi="Arial" w:cs="Arial"/>
        </w:rPr>
        <w:t>S</w:t>
      </w:r>
      <w:r w:rsidRPr="00B27A7C">
        <w:rPr>
          <w:rFonts w:ascii="Arial" w:eastAsia="Arial" w:hAnsi="Arial" w:cs="Arial"/>
        </w:rPr>
        <w:t xml:space="preserve"> or conducting interdisciplinary research.</w:t>
      </w:r>
    </w:p>
    <w:p w14:paraId="6A2EF9F4" w14:textId="77777777" w:rsidR="00B27A7C" w:rsidRPr="00B27A7C" w:rsidRDefault="00B27A7C" w:rsidP="00B27A7C">
      <w:pPr>
        <w:rPr>
          <w:rFonts w:ascii="Arial" w:eastAsia="Arial" w:hAnsi="Arial" w:cs="Arial"/>
          <w:b/>
          <w:bCs/>
        </w:rPr>
      </w:pPr>
      <w:r w:rsidRPr="00B27A7C">
        <w:rPr>
          <w:rFonts w:ascii="Arial" w:eastAsia="Arial" w:hAnsi="Arial" w:cs="Arial"/>
          <w:b/>
          <w:bCs/>
        </w:rPr>
        <w:t>Target Audience:</w:t>
      </w:r>
    </w:p>
    <w:p w14:paraId="27380146" w14:textId="77777777" w:rsidR="00B27A7C" w:rsidRPr="00B27A7C" w:rsidRDefault="00B27A7C" w:rsidP="00B27A7C">
      <w:pPr>
        <w:numPr>
          <w:ilvl w:val="0"/>
          <w:numId w:val="9"/>
        </w:numPr>
        <w:rPr>
          <w:rFonts w:ascii="Arial" w:eastAsia="Arial" w:hAnsi="Arial" w:cs="Arial"/>
        </w:rPr>
      </w:pPr>
      <w:r w:rsidRPr="00B27A7C">
        <w:rPr>
          <w:rFonts w:ascii="Arial" w:eastAsia="Arial" w:hAnsi="Arial" w:cs="Arial"/>
        </w:rPr>
        <w:t>PhD students at Tel Aviv University, in Stage A (before the research proposal), or those planning to begin their doctoral studies in the upcoming academic year.</w:t>
      </w:r>
    </w:p>
    <w:p w14:paraId="2A95A908" w14:textId="77777777" w:rsidR="00B27A7C" w:rsidRPr="00B27A7C" w:rsidRDefault="00B27A7C" w:rsidP="00B27A7C">
      <w:pPr>
        <w:numPr>
          <w:ilvl w:val="0"/>
          <w:numId w:val="9"/>
        </w:numPr>
        <w:rPr>
          <w:rFonts w:ascii="Arial" w:eastAsia="Arial" w:hAnsi="Arial" w:cs="Arial"/>
        </w:rPr>
      </w:pPr>
      <w:r w:rsidRPr="00B27A7C">
        <w:rPr>
          <w:rFonts w:ascii="Arial" w:eastAsia="Arial" w:hAnsi="Arial" w:cs="Arial"/>
        </w:rPr>
        <w:t>PhD students at Tel Aviv University in Stage B (after the research proposal), with at least two years remaining in their studies (requires a confirmation letter from the advisor regarding the remaining study period).</w:t>
      </w:r>
    </w:p>
    <w:p w14:paraId="4A826023" w14:textId="77777777" w:rsidR="00B27A7C" w:rsidRPr="00B27A7C" w:rsidRDefault="00B27A7C" w:rsidP="00B27A7C">
      <w:pPr>
        <w:numPr>
          <w:ilvl w:val="0"/>
          <w:numId w:val="9"/>
        </w:numPr>
        <w:rPr>
          <w:rFonts w:ascii="Arial" w:eastAsia="Arial" w:hAnsi="Arial" w:cs="Arial"/>
        </w:rPr>
      </w:pPr>
      <w:r w:rsidRPr="00B27A7C">
        <w:rPr>
          <w:rFonts w:ascii="Arial" w:eastAsia="Arial" w:hAnsi="Arial" w:cs="Arial"/>
        </w:rPr>
        <w:t>Master’s degree graduates (from any recognized higher education institution in Israel) planning to join a doctoral program at Tel Aviv University.</w:t>
      </w:r>
    </w:p>
    <w:p w14:paraId="06AEFC74" w14:textId="700E2CA8" w:rsidR="00B27A7C" w:rsidRPr="00B27A7C" w:rsidRDefault="00B27A7C" w:rsidP="00B27A7C">
      <w:pPr>
        <w:rPr>
          <w:rFonts w:ascii="Arial" w:eastAsia="Arial" w:hAnsi="Arial" w:cs="Arial"/>
          <w:b/>
          <w:bCs/>
        </w:rPr>
      </w:pPr>
      <w:r w:rsidRPr="00B27A7C">
        <w:rPr>
          <w:rFonts w:ascii="Arial" w:eastAsia="Arial" w:hAnsi="Arial" w:cs="Arial"/>
          <w:b/>
          <w:bCs/>
        </w:rPr>
        <w:t xml:space="preserve">Applicants who have not yet been accepted </w:t>
      </w:r>
      <w:proofErr w:type="gramStart"/>
      <w:r w:rsidRPr="00B27A7C">
        <w:rPr>
          <w:rFonts w:ascii="Arial" w:eastAsia="Arial" w:hAnsi="Arial" w:cs="Arial"/>
          <w:b/>
          <w:bCs/>
        </w:rPr>
        <w:t>to</w:t>
      </w:r>
      <w:proofErr w:type="gramEnd"/>
      <w:r w:rsidRPr="00B27A7C">
        <w:rPr>
          <w:rFonts w:ascii="Arial" w:eastAsia="Arial" w:hAnsi="Arial" w:cs="Arial"/>
          <w:b/>
          <w:bCs/>
        </w:rPr>
        <w:t xml:space="preserve"> a </w:t>
      </w:r>
      <w:r w:rsidR="00B44142">
        <w:rPr>
          <w:rFonts w:ascii="Arial" w:eastAsia="Arial" w:hAnsi="Arial" w:cs="Arial"/>
          <w:b/>
          <w:bCs/>
        </w:rPr>
        <w:t>Doctoral</w:t>
      </w:r>
      <w:r w:rsidRPr="00B27A7C">
        <w:rPr>
          <w:rFonts w:ascii="Arial" w:eastAsia="Arial" w:hAnsi="Arial" w:cs="Arial"/>
          <w:b/>
          <w:bCs/>
        </w:rPr>
        <w:t xml:space="preserve"> program are required to:</w:t>
      </w:r>
    </w:p>
    <w:p w14:paraId="0217AA89" w14:textId="77777777" w:rsidR="00B27A7C" w:rsidRPr="00B27A7C" w:rsidRDefault="00B27A7C" w:rsidP="00B27A7C">
      <w:pPr>
        <w:numPr>
          <w:ilvl w:val="0"/>
          <w:numId w:val="10"/>
        </w:numPr>
        <w:rPr>
          <w:rFonts w:ascii="Arial" w:eastAsia="Arial" w:hAnsi="Arial" w:cs="Arial"/>
        </w:rPr>
      </w:pPr>
      <w:r w:rsidRPr="00B27A7C">
        <w:rPr>
          <w:rFonts w:ascii="Arial" w:eastAsia="Arial" w:hAnsi="Arial" w:cs="Arial"/>
        </w:rPr>
        <w:t>Attach a letter of commitment from the intended advisor (including a commitment to provide financial support).</w:t>
      </w:r>
    </w:p>
    <w:p w14:paraId="60F60CAE" w14:textId="29AFA2F8" w:rsidR="00B27A7C" w:rsidRPr="00B27A7C" w:rsidRDefault="00B27A7C" w:rsidP="00B27A7C">
      <w:pPr>
        <w:numPr>
          <w:ilvl w:val="0"/>
          <w:numId w:val="10"/>
        </w:numPr>
        <w:rPr>
          <w:rFonts w:ascii="Arial" w:eastAsia="Arial" w:hAnsi="Arial" w:cs="Arial"/>
        </w:rPr>
      </w:pPr>
      <w:r w:rsidRPr="00B27A7C">
        <w:rPr>
          <w:rFonts w:ascii="Arial" w:eastAsia="Arial" w:hAnsi="Arial" w:cs="Arial"/>
        </w:rPr>
        <w:t xml:space="preserve">Be accepted into a </w:t>
      </w:r>
      <w:r w:rsidR="003B61AD">
        <w:rPr>
          <w:rFonts w:ascii="Arial" w:eastAsia="Arial" w:hAnsi="Arial" w:cs="Arial"/>
        </w:rPr>
        <w:t>Doctoral</w:t>
      </w:r>
      <w:r w:rsidRPr="00B27A7C">
        <w:rPr>
          <w:rFonts w:ascii="Arial" w:eastAsia="Arial" w:hAnsi="Arial" w:cs="Arial"/>
        </w:rPr>
        <w:t xml:space="preserve"> program at Tel Aviv University during the upcoming academic year.</w:t>
      </w:r>
    </w:p>
    <w:p w14:paraId="5A5150EB" w14:textId="77777777" w:rsidR="00B27A7C" w:rsidRPr="00B27A7C" w:rsidRDefault="00B27A7C" w:rsidP="00B27A7C">
      <w:pPr>
        <w:rPr>
          <w:rFonts w:ascii="Arial" w:eastAsia="Arial" w:hAnsi="Arial" w:cs="Arial"/>
          <w:b/>
          <w:bCs/>
        </w:rPr>
      </w:pPr>
      <w:r w:rsidRPr="00B27A7C">
        <w:rPr>
          <w:rFonts w:ascii="Arial" w:eastAsia="Arial" w:hAnsi="Arial" w:cs="Arial"/>
          <w:b/>
          <w:bCs/>
        </w:rPr>
        <w:t>Scholarship and Academic Experience:</w:t>
      </w:r>
    </w:p>
    <w:p w14:paraId="7C9A32D1" w14:textId="1DB9F2D6" w:rsidR="00B27A7C" w:rsidRPr="00B27A7C" w:rsidRDefault="00B27A7C" w:rsidP="00B27A7C">
      <w:pPr>
        <w:numPr>
          <w:ilvl w:val="0"/>
          <w:numId w:val="11"/>
        </w:numPr>
        <w:rPr>
          <w:rFonts w:ascii="Arial" w:eastAsia="Arial" w:hAnsi="Arial" w:cs="Arial"/>
        </w:rPr>
      </w:pPr>
      <w:r w:rsidRPr="00B27A7C">
        <w:rPr>
          <w:rFonts w:ascii="Arial" w:eastAsia="Arial" w:hAnsi="Arial" w:cs="Arial"/>
        </w:rPr>
        <w:t xml:space="preserve">The </w:t>
      </w:r>
      <w:r w:rsidRPr="00164E0D">
        <w:rPr>
          <w:rFonts w:ascii="Arial" w:eastAsia="Arial" w:hAnsi="Arial" w:cs="Arial"/>
        </w:rPr>
        <w:t>scholarship</w:t>
      </w:r>
      <w:r w:rsidRPr="00B27A7C">
        <w:rPr>
          <w:rFonts w:ascii="Arial" w:eastAsia="Arial" w:hAnsi="Arial" w:cs="Arial"/>
        </w:rPr>
        <w:t xml:space="preserve"> </w:t>
      </w:r>
      <w:r w:rsidR="009F32E6">
        <w:rPr>
          <w:rFonts w:ascii="Arial" w:eastAsia="Arial" w:hAnsi="Arial" w:cs="Arial"/>
        </w:rPr>
        <w:t>offered is</w:t>
      </w:r>
      <w:r w:rsidRPr="00B27A7C">
        <w:rPr>
          <w:rFonts w:ascii="Arial" w:eastAsia="Arial" w:hAnsi="Arial" w:cs="Arial"/>
        </w:rPr>
        <w:t xml:space="preserve"> 50% </w:t>
      </w:r>
      <w:r w:rsidR="009F32E6">
        <w:rPr>
          <w:rFonts w:ascii="Arial" w:eastAsia="Arial" w:hAnsi="Arial" w:cs="Arial"/>
        </w:rPr>
        <w:t>per year</w:t>
      </w:r>
      <w:r w:rsidRPr="00B27A7C">
        <w:rPr>
          <w:rFonts w:ascii="Arial" w:eastAsia="Arial" w:hAnsi="Arial" w:cs="Arial"/>
        </w:rPr>
        <w:t xml:space="preserve"> for up to three years and will be added to the scholarships received from the advisor and/or other sources (subject to the </w:t>
      </w:r>
      <w:proofErr w:type="gramStart"/>
      <w:r w:rsidRPr="00B27A7C">
        <w:rPr>
          <w:rFonts w:ascii="Arial" w:eastAsia="Arial" w:hAnsi="Arial" w:cs="Arial"/>
        </w:rPr>
        <w:t>university's</w:t>
      </w:r>
      <w:proofErr w:type="gramEnd"/>
      <w:r w:rsidRPr="00B27A7C">
        <w:rPr>
          <w:rFonts w:ascii="Arial" w:eastAsia="Arial" w:hAnsi="Arial" w:cs="Arial"/>
        </w:rPr>
        <w:t xml:space="preserve"> and the student’s unit regulations).</w:t>
      </w:r>
    </w:p>
    <w:p w14:paraId="429C67E6" w14:textId="77777777" w:rsidR="00B27A7C" w:rsidRPr="00B27A7C" w:rsidRDefault="00B27A7C" w:rsidP="00B27A7C">
      <w:pPr>
        <w:numPr>
          <w:ilvl w:val="0"/>
          <w:numId w:val="11"/>
        </w:numPr>
        <w:rPr>
          <w:rFonts w:ascii="Arial" w:eastAsia="Arial" w:hAnsi="Arial" w:cs="Arial"/>
        </w:rPr>
      </w:pPr>
      <w:r w:rsidRPr="00B27A7C">
        <w:rPr>
          <w:rFonts w:ascii="Arial" w:eastAsia="Arial" w:hAnsi="Arial" w:cs="Arial"/>
        </w:rPr>
        <w:t>Subject to program committee approval, fellows in the program will be eligible for an additional budget of up to $10,000 for an extended visit to a leading lab in the field.</w:t>
      </w:r>
    </w:p>
    <w:p w14:paraId="6B570F90" w14:textId="77777777" w:rsidR="005531B2" w:rsidRDefault="005531B2" w:rsidP="00B27A7C">
      <w:pPr>
        <w:rPr>
          <w:rFonts w:ascii="Arial" w:eastAsia="Arial" w:hAnsi="Arial" w:cs="Arial"/>
          <w:b/>
          <w:bCs/>
        </w:rPr>
      </w:pPr>
    </w:p>
    <w:p w14:paraId="1DB4912E" w14:textId="3578836F" w:rsidR="00B27A7C" w:rsidRPr="00B27A7C" w:rsidRDefault="00B27A7C" w:rsidP="00B27A7C">
      <w:pPr>
        <w:rPr>
          <w:rFonts w:ascii="Arial" w:eastAsia="Arial" w:hAnsi="Arial" w:cs="Arial"/>
          <w:b/>
          <w:bCs/>
        </w:rPr>
      </w:pPr>
      <w:r w:rsidRPr="00B27A7C">
        <w:rPr>
          <w:rFonts w:ascii="Arial" w:eastAsia="Arial" w:hAnsi="Arial" w:cs="Arial"/>
          <w:b/>
          <w:bCs/>
        </w:rPr>
        <w:lastRenderedPageBreak/>
        <w:t>Fellows’ Commitments:</w:t>
      </w:r>
    </w:p>
    <w:p w14:paraId="33324364" w14:textId="77777777" w:rsidR="00B27A7C" w:rsidRPr="00B27A7C" w:rsidRDefault="00B27A7C" w:rsidP="00B27A7C">
      <w:pPr>
        <w:numPr>
          <w:ilvl w:val="0"/>
          <w:numId w:val="12"/>
        </w:numPr>
        <w:rPr>
          <w:rFonts w:ascii="Arial" w:eastAsia="Arial" w:hAnsi="Arial" w:cs="Arial"/>
        </w:rPr>
      </w:pPr>
      <w:r w:rsidRPr="00B27A7C">
        <w:rPr>
          <w:rFonts w:ascii="Arial" w:eastAsia="Arial" w:hAnsi="Arial" w:cs="Arial"/>
        </w:rPr>
        <w:t>Fellows must submit an annual progress report (approved by their advisor).</w:t>
      </w:r>
    </w:p>
    <w:p w14:paraId="2A501737" w14:textId="77777777" w:rsidR="00B27A7C" w:rsidRPr="00B27A7C" w:rsidRDefault="00B27A7C" w:rsidP="00B27A7C">
      <w:pPr>
        <w:numPr>
          <w:ilvl w:val="0"/>
          <w:numId w:val="12"/>
        </w:numPr>
        <w:rPr>
          <w:rFonts w:ascii="Arial" w:eastAsia="Arial" w:hAnsi="Arial" w:cs="Arial"/>
        </w:rPr>
      </w:pPr>
      <w:r w:rsidRPr="00B27A7C">
        <w:rPr>
          <w:rFonts w:ascii="Arial" w:eastAsia="Arial" w:hAnsi="Arial" w:cs="Arial"/>
        </w:rPr>
        <w:t>Fellows are required to participate in TAD’s relevant activities, including seminars and research workshops in AI topics.</w:t>
      </w:r>
    </w:p>
    <w:p w14:paraId="5D97622F" w14:textId="77777777" w:rsidR="00B27A7C" w:rsidRPr="00B27A7C" w:rsidRDefault="00B27A7C" w:rsidP="00B27A7C">
      <w:pPr>
        <w:numPr>
          <w:ilvl w:val="0"/>
          <w:numId w:val="12"/>
        </w:numPr>
        <w:rPr>
          <w:rFonts w:ascii="Arial" w:eastAsia="Arial" w:hAnsi="Arial" w:cs="Arial"/>
        </w:rPr>
      </w:pPr>
      <w:r w:rsidRPr="00B27A7C">
        <w:rPr>
          <w:rFonts w:ascii="Arial" w:eastAsia="Arial" w:hAnsi="Arial" w:cs="Arial"/>
        </w:rPr>
        <w:t xml:space="preserve">Fellows must include an acknowledgment in their publications, following </w:t>
      </w:r>
      <w:proofErr w:type="gramStart"/>
      <w:r w:rsidRPr="00B27A7C">
        <w:rPr>
          <w:rFonts w:ascii="Arial" w:eastAsia="Arial" w:hAnsi="Arial" w:cs="Arial"/>
        </w:rPr>
        <w:t>provided guidelines</w:t>
      </w:r>
      <w:proofErr w:type="gramEnd"/>
      <w:r w:rsidRPr="00B27A7C">
        <w:rPr>
          <w:rFonts w:ascii="Arial" w:eastAsia="Arial" w:hAnsi="Arial" w:cs="Arial"/>
        </w:rPr>
        <w:t>.</w:t>
      </w:r>
    </w:p>
    <w:p w14:paraId="139E90AD" w14:textId="77777777" w:rsidR="00B27A7C" w:rsidRPr="00B27A7C" w:rsidRDefault="00B27A7C" w:rsidP="00B27A7C">
      <w:pPr>
        <w:rPr>
          <w:rFonts w:ascii="Arial" w:eastAsia="Arial" w:hAnsi="Arial" w:cs="Arial"/>
          <w:b/>
          <w:bCs/>
        </w:rPr>
      </w:pPr>
      <w:r w:rsidRPr="00B27A7C">
        <w:rPr>
          <w:rFonts w:ascii="Arial" w:eastAsia="Arial" w:hAnsi="Arial" w:cs="Arial"/>
          <w:b/>
          <w:bCs/>
        </w:rPr>
        <w:t>Advisors’ Commitments:</w:t>
      </w:r>
    </w:p>
    <w:p w14:paraId="4520EA08" w14:textId="7084C92E" w:rsidR="00B27A7C" w:rsidRPr="00B27A7C" w:rsidRDefault="00B27A7C" w:rsidP="00B27A7C">
      <w:pPr>
        <w:numPr>
          <w:ilvl w:val="0"/>
          <w:numId w:val="13"/>
        </w:numPr>
        <w:rPr>
          <w:rFonts w:ascii="Arial" w:eastAsia="Arial" w:hAnsi="Arial" w:cs="Arial"/>
        </w:rPr>
      </w:pPr>
      <w:r w:rsidRPr="00B27A7C">
        <w:rPr>
          <w:rFonts w:ascii="Arial" w:eastAsia="Arial" w:hAnsi="Arial" w:cs="Arial"/>
        </w:rPr>
        <w:t xml:space="preserve">The advisor must commit to </w:t>
      </w:r>
      <w:proofErr w:type="gramStart"/>
      <w:r w:rsidRPr="00B27A7C">
        <w:rPr>
          <w:rFonts w:ascii="Arial" w:eastAsia="Arial" w:hAnsi="Arial" w:cs="Arial"/>
        </w:rPr>
        <w:t>fund</w:t>
      </w:r>
      <w:proofErr w:type="gramEnd"/>
      <w:r w:rsidRPr="00B27A7C">
        <w:rPr>
          <w:rFonts w:ascii="Arial" w:eastAsia="Arial" w:hAnsi="Arial" w:cs="Arial"/>
        </w:rPr>
        <w:t xml:space="preserve"> a scholarship of at least 100% per year for three years, beyond the guaranteed funding provided by the program. (This may include </w:t>
      </w:r>
      <w:r w:rsidR="0064163B">
        <w:rPr>
          <w:rFonts w:ascii="Arial" w:eastAsia="Arial" w:hAnsi="Arial" w:cs="Arial"/>
        </w:rPr>
        <w:t>beside</w:t>
      </w:r>
      <w:r w:rsidR="00724704">
        <w:rPr>
          <w:rFonts w:ascii="Arial" w:eastAsia="Arial" w:hAnsi="Arial" w:cs="Arial"/>
        </w:rPr>
        <w:t>s</w:t>
      </w:r>
      <w:r w:rsidR="0064163B">
        <w:rPr>
          <w:rFonts w:ascii="Arial" w:eastAsia="Arial" w:hAnsi="Arial" w:cs="Arial"/>
        </w:rPr>
        <w:t xml:space="preserve"> </w:t>
      </w:r>
      <w:r w:rsidRPr="00B27A7C">
        <w:rPr>
          <w:rFonts w:ascii="Arial" w:eastAsia="Arial" w:hAnsi="Arial" w:cs="Arial"/>
        </w:rPr>
        <w:t xml:space="preserve">the advisor's funds </w:t>
      </w:r>
      <w:r w:rsidR="0064163B">
        <w:rPr>
          <w:rFonts w:ascii="Arial" w:eastAsia="Arial" w:hAnsi="Arial" w:cs="Arial"/>
        </w:rPr>
        <w:t>also</w:t>
      </w:r>
      <w:r w:rsidRPr="00B27A7C">
        <w:rPr>
          <w:rFonts w:ascii="Arial" w:eastAsia="Arial" w:hAnsi="Arial" w:cs="Arial"/>
        </w:rPr>
        <w:t xml:space="preserve"> support from the student’s academic unit or other sources.)</w:t>
      </w:r>
    </w:p>
    <w:p w14:paraId="1ABEFCB1" w14:textId="77777777" w:rsidR="00B27A7C" w:rsidRPr="00B27A7C" w:rsidRDefault="00B27A7C" w:rsidP="00B27A7C">
      <w:pPr>
        <w:rPr>
          <w:rFonts w:ascii="Arial" w:eastAsia="Arial" w:hAnsi="Arial" w:cs="Arial"/>
          <w:b/>
          <w:bCs/>
        </w:rPr>
      </w:pPr>
      <w:r w:rsidRPr="00B27A7C">
        <w:rPr>
          <w:rFonts w:ascii="Arial" w:eastAsia="Arial" w:hAnsi="Arial" w:cs="Arial"/>
          <w:b/>
          <w:bCs/>
        </w:rPr>
        <w:t>Required Documents:</w:t>
      </w:r>
    </w:p>
    <w:p w14:paraId="2BF0C63A" w14:textId="77777777" w:rsidR="00B27A7C" w:rsidRPr="00B27A7C" w:rsidRDefault="00B27A7C" w:rsidP="00B27A7C">
      <w:pPr>
        <w:numPr>
          <w:ilvl w:val="0"/>
          <w:numId w:val="14"/>
        </w:numPr>
        <w:rPr>
          <w:rFonts w:ascii="Arial" w:eastAsia="Arial" w:hAnsi="Arial" w:cs="Arial"/>
        </w:rPr>
      </w:pPr>
      <w:r w:rsidRPr="00B27A7C">
        <w:rPr>
          <w:rFonts w:ascii="Arial" w:eastAsia="Arial" w:hAnsi="Arial" w:cs="Arial"/>
        </w:rPr>
        <w:t>Application form (printed).</w:t>
      </w:r>
    </w:p>
    <w:p w14:paraId="4EF17430" w14:textId="77777777" w:rsidR="00B27A7C" w:rsidRPr="00B27A7C" w:rsidRDefault="00B27A7C" w:rsidP="00B27A7C">
      <w:pPr>
        <w:numPr>
          <w:ilvl w:val="0"/>
          <w:numId w:val="14"/>
        </w:numPr>
        <w:rPr>
          <w:rFonts w:ascii="Arial" w:eastAsia="Arial" w:hAnsi="Arial" w:cs="Arial"/>
        </w:rPr>
      </w:pPr>
      <w:r w:rsidRPr="00B27A7C">
        <w:rPr>
          <w:rFonts w:ascii="Arial" w:eastAsia="Arial" w:hAnsi="Arial" w:cs="Arial"/>
        </w:rPr>
        <w:t>Curriculum Vitae (up to 2 pages, including contact details and a detailed list of academic education, scholarships, grants, and awards – excluding publications).</w:t>
      </w:r>
    </w:p>
    <w:p w14:paraId="20033C77" w14:textId="2A18254A" w:rsidR="00B27A7C" w:rsidRPr="00B27A7C" w:rsidRDefault="00B27A7C" w:rsidP="00B27A7C">
      <w:pPr>
        <w:numPr>
          <w:ilvl w:val="0"/>
          <w:numId w:val="14"/>
        </w:numPr>
        <w:rPr>
          <w:rFonts w:ascii="Arial" w:eastAsia="Arial" w:hAnsi="Arial" w:cs="Arial"/>
        </w:rPr>
      </w:pPr>
      <w:r w:rsidRPr="00B27A7C">
        <w:rPr>
          <w:rFonts w:ascii="Arial" w:eastAsia="Arial" w:hAnsi="Arial" w:cs="Arial"/>
        </w:rPr>
        <w:t xml:space="preserve">List of publications, clearly separating published/accepted articles and submitted </w:t>
      </w:r>
      <w:r w:rsidR="00CE348F">
        <w:rPr>
          <w:rFonts w:ascii="Arial" w:eastAsia="Arial" w:hAnsi="Arial" w:cs="Arial"/>
        </w:rPr>
        <w:t>articles</w:t>
      </w:r>
      <w:r w:rsidRPr="00B27A7C">
        <w:rPr>
          <w:rFonts w:ascii="Arial" w:eastAsia="Arial" w:hAnsi="Arial" w:cs="Arial"/>
        </w:rPr>
        <w:t xml:space="preserve"> under review. Please include links to articles where possible.</w:t>
      </w:r>
    </w:p>
    <w:p w14:paraId="373371B4" w14:textId="77777777" w:rsidR="00B27A7C" w:rsidRPr="00B27A7C" w:rsidRDefault="00B27A7C" w:rsidP="00B27A7C">
      <w:pPr>
        <w:numPr>
          <w:ilvl w:val="0"/>
          <w:numId w:val="14"/>
        </w:numPr>
        <w:rPr>
          <w:rFonts w:ascii="Arial" w:eastAsia="Arial" w:hAnsi="Arial" w:cs="Arial"/>
        </w:rPr>
      </w:pPr>
      <w:r w:rsidRPr="00B27A7C">
        <w:rPr>
          <w:rFonts w:ascii="Arial" w:eastAsia="Arial" w:hAnsi="Arial" w:cs="Arial"/>
        </w:rPr>
        <w:t>Transcripts from Bachelor’s, Master’s, and Doctoral studies.</w:t>
      </w:r>
    </w:p>
    <w:p w14:paraId="4B9DE360" w14:textId="77777777" w:rsidR="00B27A7C" w:rsidRPr="00B27A7C" w:rsidRDefault="00B27A7C" w:rsidP="00B27A7C">
      <w:pPr>
        <w:numPr>
          <w:ilvl w:val="0"/>
          <w:numId w:val="14"/>
        </w:numPr>
        <w:rPr>
          <w:rFonts w:ascii="Arial" w:eastAsia="Arial" w:hAnsi="Arial" w:cs="Arial"/>
        </w:rPr>
      </w:pPr>
      <w:r w:rsidRPr="00B27A7C">
        <w:rPr>
          <w:rFonts w:ascii="Arial" w:eastAsia="Arial" w:hAnsi="Arial" w:cs="Arial"/>
        </w:rPr>
        <w:t>PhD research proposal (up to 4 pages in English including diagrams and graphs, bibliography excluded) and an abstract in English (up to 450 words).</w:t>
      </w:r>
    </w:p>
    <w:p w14:paraId="0328C3AE" w14:textId="221CE0F2" w:rsidR="00B27A7C" w:rsidRPr="00B27A7C" w:rsidRDefault="00B27A7C" w:rsidP="00B27A7C">
      <w:pPr>
        <w:numPr>
          <w:ilvl w:val="0"/>
          <w:numId w:val="14"/>
        </w:numPr>
        <w:rPr>
          <w:rFonts w:ascii="Arial" w:eastAsia="Arial" w:hAnsi="Arial" w:cs="Arial"/>
        </w:rPr>
      </w:pPr>
      <w:r w:rsidRPr="00B27A7C">
        <w:rPr>
          <w:rFonts w:ascii="Arial" w:eastAsia="Arial" w:hAnsi="Arial" w:cs="Arial"/>
        </w:rPr>
        <w:t xml:space="preserve">Two or three signed letters of </w:t>
      </w:r>
      <w:proofErr w:type="gramStart"/>
      <w:r w:rsidRPr="00B27A7C">
        <w:rPr>
          <w:rFonts w:ascii="Arial" w:eastAsia="Arial" w:hAnsi="Arial" w:cs="Arial"/>
        </w:rPr>
        <w:t>recommendation:</w:t>
      </w:r>
      <w:r w:rsidR="00D04978">
        <w:rPr>
          <w:rFonts w:ascii="Arial" w:eastAsia="Arial" w:hAnsi="Arial" w:cs="Arial" w:hint="cs"/>
          <w:rtl/>
        </w:rPr>
        <w:t>*</w:t>
      </w:r>
      <w:proofErr w:type="gramEnd"/>
    </w:p>
    <w:p w14:paraId="4DE7899B" w14:textId="77777777" w:rsidR="00B27A7C" w:rsidRPr="00B27A7C" w:rsidRDefault="00B27A7C" w:rsidP="00B27A7C">
      <w:pPr>
        <w:numPr>
          <w:ilvl w:val="1"/>
          <w:numId w:val="14"/>
        </w:numPr>
        <w:rPr>
          <w:rFonts w:ascii="Arial" w:eastAsia="Arial" w:hAnsi="Arial" w:cs="Arial"/>
        </w:rPr>
      </w:pPr>
      <w:r w:rsidRPr="00B27A7C">
        <w:rPr>
          <w:rFonts w:ascii="Arial" w:eastAsia="Arial" w:hAnsi="Arial" w:cs="Arial"/>
        </w:rPr>
        <w:t>From the doctoral advisor.</w:t>
      </w:r>
    </w:p>
    <w:p w14:paraId="4696DD45" w14:textId="77777777" w:rsidR="00B27A7C" w:rsidRPr="00B27A7C" w:rsidRDefault="00B27A7C" w:rsidP="00B27A7C">
      <w:pPr>
        <w:numPr>
          <w:ilvl w:val="1"/>
          <w:numId w:val="14"/>
        </w:numPr>
        <w:rPr>
          <w:rFonts w:ascii="Arial" w:eastAsia="Arial" w:hAnsi="Arial" w:cs="Arial"/>
        </w:rPr>
      </w:pPr>
      <w:r w:rsidRPr="00B27A7C">
        <w:rPr>
          <w:rFonts w:ascii="Arial" w:eastAsia="Arial" w:hAnsi="Arial" w:cs="Arial"/>
        </w:rPr>
        <w:t>From academic faculty members who know or taught the applicant – either from another recognized higher education institution (in Israel or abroad) or from Tel Aviv University. The letter should include the recommender’s details (field, institution, etc.) and the nature of their relationship with the applicant.</w:t>
      </w:r>
    </w:p>
    <w:p w14:paraId="49802A3A" w14:textId="6399691A" w:rsidR="00C3556B" w:rsidRPr="00C3556B" w:rsidRDefault="00B27A7C" w:rsidP="00C3556B">
      <w:pPr>
        <w:numPr>
          <w:ilvl w:val="0"/>
          <w:numId w:val="14"/>
        </w:numPr>
        <w:rPr>
          <w:rFonts w:ascii="Arial" w:eastAsia="Arial" w:hAnsi="Arial" w:cs="Arial"/>
        </w:rPr>
      </w:pPr>
      <w:r w:rsidRPr="00B27A7C">
        <w:rPr>
          <w:rFonts w:ascii="Arial" w:eastAsia="Arial" w:hAnsi="Arial" w:cs="Arial"/>
        </w:rPr>
        <w:t xml:space="preserve">Advisor's confirmation of participation in funding a </w:t>
      </w:r>
      <w:r w:rsidRPr="00164E0D">
        <w:rPr>
          <w:rFonts w:ascii="Arial" w:eastAsia="Arial" w:hAnsi="Arial" w:cs="Arial"/>
        </w:rPr>
        <w:t>scholarship</w:t>
      </w:r>
      <w:r w:rsidRPr="00B27A7C">
        <w:rPr>
          <w:rFonts w:ascii="Arial" w:eastAsia="Arial" w:hAnsi="Arial" w:cs="Arial"/>
        </w:rPr>
        <w:t xml:space="preserve"> of 100% per year for a period of three years, in addition to the guaranteed program </w:t>
      </w:r>
      <w:r w:rsidRPr="00164E0D">
        <w:rPr>
          <w:rFonts w:ascii="Arial" w:eastAsia="Arial" w:hAnsi="Arial" w:cs="Arial"/>
        </w:rPr>
        <w:t>scholarship</w:t>
      </w:r>
      <w:r w:rsidRPr="00B27A7C">
        <w:rPr>
          <w:rFonts w:ascii="Arial" w:eastAsia="Arial" w:hAnsi="Arial" w:cs="Arial"/>
        </w:rPr>
        <w:t>.</w:t>
      </w:r>
    </w:p>
    <w:p w14:paraId="1E3F2406" w14:textId="4CA0C13C" w:rsidR="008B6075" w:rsidRDefault="008B6075" w:rsidP="008B6075">
      <w:pPr>
        <w:pStyle w:val="ListParagraph"/>
        <w:ind w:left="720"/>
        <w:rPr>
          <w:rFonts w:ascii="Arial" w:eastAsia="Arial" w:hAnsi="Arial" w:cs="Arial"/>
        </w:rPr>
      </w:pPr>
      <w:r>
        <w:rPr>
          <w:rFonts w:ascii="Arial" w:eastAsia="Arial" w:hAnsi="Arial" w:cs="Arial"/>
        </w:rPr>
        <w:t>*</w:t>
      </w:r>
      <w:r w:rsidRPr="00C3556B">
        <w:rPr>
          <w:rFonts w:ascii="Arial" w:eastAsia="Arial" w:hAnsi="Arial" w:cs="Arial"/>
          <w:b/>
          <w:bCs/>
        </w:rPr>
        <w:t>The letters of recommendation should be submitted separately to</w:t>
      </w:r>
      <w:r>
        <w:rPr>
          <w:rFonts w:ascii="Arial" w:eastAsia="Arial" w:hAnsi="Arial" w:cs="Arial"/>
        </w:rPr>
        <w:t xml:space="preserve"> </w:t>
      </w:r>
      <w:hyperlink r:id="rId9" w:history="1">
        <w:r w:rsidR="00C3556B" w:rsidRPr="002F3400">
          <w:rPr>
            <w:rStyle w:val="Hyperlink"/>
            <w:rFonts w:ascii="Arial" w:eastAsia="Arial" w:hAnsi="Arial" w:cs="Arial"/>
          </w:rPr>
          <w:t>hillaeiny@tauex.tau.ac.il</w:t>
        </w:r>
      </w:hyperlink>
    </w:p>
    <w:p w14:paraId="0ED7BF91" w14:textId="77777777" w:rsidR="00C3556B" w:rsidRPr="008B6075" w:rsidRDefault="00C3556B" w:rsidP="008B6075">
      <w:pPr>
        <w:pStyle w:val="ListParagraph"/>
        <w:ind w:left="720"/>
        <w:rPr>
          <w:rFonts w:ascii="Arial" w:eastAsia="Arial" w:hAnsi="Arial" w:cs="Arial"/>
        </w:rPr>
      </w:pPr>
    </w:p>
    <w:p w14:paraId="168351FF" w14:textId="77777777" w:rsidR="00B27A7C" w:rsidRPr="00B27A7C" w:rsidRDefault="00000000" w:rsidP="00B27A7C">
      <w:pPr>
        <w:rPr>
          <w:rFonts w:ascii="Arial" w:eastAsia="Arial" w:hAnsi="Arial" w:cs="Arial"/>
        </w:rPr>
      </w:pPr>
      <w:r>
        <w:rPr>
          <w:rFonts w:ascii="Arial" w:eastAsia="Arial" w:hAnsi="Arial" w:cs="Arial"/>
        </w:rPr>
        <w:pict w14:anchorId="6D5E34E2">
          <v:rect id="_x0000_i1025" style="width:0;height:1.5pt" o:hralign="center" o:hrstd="t" o:hr="t" fillcolor="#a0a0a0" stroked="f"/>
        </w:pict>
      </w:r>
    </w:p>
    <w:p w14:paraId="516D78F4" w14:textId="32CB3253" w:rsidR="003F1104" w:rsidRPr="00967D2B" w:rsidRDefault="00B27A7C" w:rsidP="00967D2B">
      <w:pPr>
        <w:rPr>
          <w:rFonts w:ascii="Arial" w:eastAsia="Arial" w:hAnsi="Arial" w:cs="Arial"/>
          <w:b/>
          <w:bCs/>
        </w:rPr>
      </w:pPr>
      <w:r w:rsidRPr="00B27A7C">
        <w:rPr>
          <w:rFonts w:ascii="Arial" w:eastAsia="Arial" w:hAnsi="Arial" w:cs="Arial"/>
          <w:b/>
          <w:bCs/>
        </w:rPr>
        <w:t xml:space="preserve">All documents, </w:t>
      </w:r>
      <w:r w:rsidR="00D04978">
        <w:rPr>
          <w:rFonts w:ascii="Arial" w:eastAsia="Arial" w:hAnsi="Arial" w:cs="Arial"/>
          <w:b/>
          <w:bCs/>
        </w:rPr>
        <w:t>excluding the</w:t>
      </w:r>
      <w:r w:rsidRPr="00B27A7C">
        <w:rPr>
          <w:rFonts w:ascii="Arial" w:eastAsia="Arial" w:hAnsi="Arial" w:cs="Arial"/>
          <w:b/>
          <w:bCs/>
        </w:rPr>
        <w:t xml:space="preserve"> letters of recommendation, should be submitted via </w:t>
      </w:r>
      <w:r w:rsidR="009F32E6">
        <w:rPr>
          <w:rFonts w:ascii="Arial" w:eastAsia="Arial" w:hAnsi="Arial" w:cs="Arial"/>
          <w:b/>
          <w:bCs/>
        </w:rPr>
        <w:t xml:space="preserve">this form </w:t>
      </w:r>
      <w:r w:rsidR="009F32E6" w:rsidRPr="00B27A7C">
        <w:rPr>
          <w:rFonts w:ascii="Arial" w:eastAsia="Arial" w:hAnsi="Arial" w:cs="Arial"/>
          <w:b/>
          <w:bCs/>
        </w:rPr>
        <w:t xml:space="preserve">by </w:t>
      </w:r>
      <w:r w:rsidR="005531B2">
        <w:rPr>
          <w:rFonts w:ascii="Arial" w:eastAsia="Arial" w:hAnsi="Arial" w:cs="Arial"/>
          <w:b/>
          <w:bCs/>
        </w:rPr>
        <w:t>July 31st</w:t>
      </w:r>
      <w:r w:rsidR="009F32E6" w:rsidRPr="00B27A7C">
        <w:rPr>
          <w:rFonts w:ascii="Arial" w:eastAsia="Arial" w:hAnsi="Arial" w:cs="Arial"/>
          <w:b/>
          <w:bCs/>
        </w:rPr>
        <w:t>, 202</w:t>
      </w:r>
      <w:r w:rsidR="005531B2">
        <w:rPr>
          <w:rFonts w:ascii="Arial" w:eastAsia="Arial" w:hAnsi="Arial" w:cs="Arial"/>
          <w:b/>
          <w:bCs/>
        </w:rPr>
        <w:t>6</w:t>
      </w:r>
      <w:r w:rsidRPr="00B27A7C">
        <w:rPr>
          <w:rFonts w:ascii="Arial" w:eastAsia="Arial" w:hAnsi="Arial" w:cs="Arial"/>
          <w:b/>
          <w:bCs/>
        </w:rPr>
        <w:t>:</w:t>
      </w:r>
      <w:r w:rsidRPr="00B27A7C">
        <w:rPr>
          <w:rFonts w:ascii="Arial" w:eastAsia="Arial" w:hAnsi="Arial" w:cs="Arial"/>
        </w:rPr>
        <w:br/>
      </w:r>
      <w:r w:rsidR="009F32E6">
        <w:rPr>
          <w:rFonts w:hint="cs"/>
          <w:w w:val="105"/>
          <w:rtl/>
        </w:rPr>
        <w:t xml:space="preserve"> </w:t>
      </w:r>
      <w:hyperlink r:id="rId10" w:history="1">
        <w:r w:rsidR="008B6075" w:rsidRPr="002F3400">
          <w:rPr>
            <w:rStyle w:val="Hyperlink"/>
            <w:w w:val="105"/>
          </w:rPr>
          <w:t>https://docs.google.com/forms/d/1nW6k1619WfnxC7xrCv57FVnDLmUw8nvVvuIXlCjMGHw/edit</w:t>
        </w:r>
      </w:hyperlink>
    </w:p>
    <w:sectPr w:rsidR="003F1104" w:rsidRPr="00967D2B">
      <w:headerReference w:type="even" r:id="rId11"/>
      <w:headerReference w:type="default" r:id="rId12"/>
      <w:footerReference w:type="even" r:id="rId13"/>
      <w:footerReference w:type="default" r:id="rId14"/>
      <w:headerReference w:type="first" r:id="rId15"/>
      <w:footerReference w:type="first" r:id="rId16"/>
      <w:pgSz w:w="11906" w:h="16838"/>
      <w:pgMar w:top="1701" w:right="1134" w:bottom="1701" w:left="1134" w:header="476" w:footer="89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8C440" w14:textId="77777777" w:rsidR="00C77FFB" w:rsidRDefault="00C77FFB">
      <w:pPr>
        <w:spacing w:after="0" w:line="240" w:lineRule="auto"/>
      </w:pPr>
      <w:r>
        <w:separator/>
      </w:r>
    </w:p>
  </w:endnote>
  <w:endnote w:type="continuationSeparator" w:id="0">
    <w:p w14:paraId="30537B7F" w14:textId="77777777" w:rsidR="00C77FFB" w:rsidRDefault="00C77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51CC8" w14:textId="77777777" w:rsidR="002B5609" w:rsidRDefault="002B5609">
    <w:pPr>
      <w:pBdr>
        <w:top w:val="nil"/>
        <w:left w:val="nil"/>
        <w:bottom w:val="nil"/>
        <w:right w:val="nil"/>
        <w:between w:val="nil"/>
      </w:pBdr>
      <w:tabs>
        <w:tab w:val="center" w:pos="4153"/>
        <w:tab w:val="right" w:pos="8306"/>
      </w:tabs>
      <w:bidi/>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10D21" w14:textId="77777777" w:rsidR="002B5609" w:rsidRDefault="002B5609">
    <w:pPr>
      <w:pBdr>
        <w:top w:val="nil"/>
        <w:left w:val="nil"/>
        <w:bottom w:val="nil"/>
        <w:right w:val="nil"/>
        <w:between w:val="nil"/>
      </w:pBdr>
      <w:tabs>
        <w:tab w:val="center" w:pos="4153"/>
        <w:tab w:val="right" w:pos="8306"/>
      </w:tabs>
      <w:bidi/>
      <w:spacing w:after="0" w:line="240" w:lineRule="auto"/>
      <w:ind w:left="1641"/>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2E937" w14:textId="7CF4924F" w:rsidR="002B5609" w:rsidRDefault="002B5609" w:rsidP="00843D47">
    <w:pPr>
      <w:pBdr>
        <w:top w:val="nil"/>
        <w:left w:val="nil"/>
        <w:bottom w:val="nil"/>
        <w:right w:val="nil"/>
        <w:between w:val="nil"/>
      </w:pBdr>
      <w:tabs>
        <w:tab w:val="center" w:pos="4153"/>
        <w:tab w:val="right" w:pos="8306"/>
      </w:tabs>
      <w:bidi/>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061FA" w14:textId="77777777" w:rsidR="00C77FFB" w:rsidRDefault="00C77FFB">
      <w:pPr>
        <w:spacing w:after="0" w:line="240" w:lineRule="auto"/>
      </w:pPr>
      <w:r>
        <w:separator/>
      </w:r>
    </w:p>
  </w:footnote>
  <w:footnote w:type="continuationSeparator" w:id="0">
    <w:p w14:paraId="039FB1E0" w14:textId="77777777" w:rsidR="00C77FFB" w:rsidRDefault="00C77F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67E23" w14:textId="77777777" w:rsidR="002B5609" w:rsidRDefault="002B5609">
    <w:pPr>
      <w:pBdr>
        <w:top w:val="nil"/>
        <w:left w:val="nil"/>
        <w:bottom w:val="nil"/>
        <w:right w:val="nil"/>
        <w:between w:val="nil"/>
      </w:pBdr>
      <w:tabs>
        <w:tab w:val="center" w:pos="4153"/>
        <w:tab w:val="right" w:pos="8306"/>
      </w:tabs>
      <w:bidi/>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CAFBC" w14:textId="6C455F39" w:rsidR="002B5609" w:rsidRDefault="002E710F">
    <w:pPr>
      <w:pBdr>
        <w:top w:val="nil"/>
        <w:left w:val="nil"/>
        <w:bottom w:val="nil"/>
        <w:right w:val="nil"/>
        <w:between w:val="nil"/>
      </w:pBdr>
      <w:tabs>
        <w:tab w:val="center" w:pos="4153"/>
        <w:tab w:val="right" w:pos="8306"/>
      </w:tabs>
      <w:bidi/>
      <w:spacing w:after="0" w:line="240" w:lineRule="auto"/>
      <w:ind w:left="-865" w:right="-546"/>
      <w:rPr>
        <w:color w:val="000000"/>
      </w:rPr>
    </w:pPr>
    <w:r>
      <w:rPr>
        <w:noProof/>
      </w:rPr>
      <w:drawing>
        <wp:anchor distT="0" distB="0" distL="0" distR="0" simplePos="0" relativeHeight="251661312" behindDoc="1" locked="0" layoutInCell="1" hidden="0" allowOverlap="1" wp14:anchorId="3C62ED04" wp14:editId="5A9860AA">
          <wp:simplePos x="0" y="0"/>
          <wp:positionH relativeFrom="margin">
            <wp:align>center</wp:align>
          </wp:positionH>
          <wp:positionV relativeFrom="paragraph">
            <wp:posOffset>-123825</wp:posOffset>
          </wp:positionV>
          <wp:extent cx="4501661" cy="899356"/>
          <wp:effectExtent l="0" t="0" r="0" b="0"/>
          <wp:wrapNone/>
          <wp:docPr id="669731146" name="image1.jpg" descr="A group of black circles with white text"/>
          <wp:cNvGraphicFramePr/>
          <a:graphic xmlns:a="http://schemas.openxmlformats.org/drawingml/2006/main">
            <a:graphicData uri="http://schemas.openxmlformats.org/drawingml/2006/picture">
              <pic:pic xmlns:pic="http://schemas.openxmlformats.org/drawingml/2006/picture">
                <pic:nvPicPr>
                  <pic:cNvPr id="1097632263" name="image1.jpg" descr="A group of black circles with white text"/>
                  <pic:cNvPicPr preferRelativeResize="0"/>
                </pic:nvPicPr>
                <pic:blipFill>
                  <a:blip r:embed="rId1"/>
                  <a:srcRect/>
                  <a:stretch>
                    <a:fillRect/>
                  </a:stretch>
                </pic:blipFill>
                <pic:spPr>
                  <a:xfrm>
                    <a:off x="0" y="0"/>
                    <a:ext cx="4501661" cy="899356"/>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87B61" w14:textId="40A37274" w:rsidR="00A10080" w:rsidRDefault="002E710F" w:rsidP="00A10080">
    <w:pPr>
      <w:pStyle w:val="Header"/>
      <w:jc w:val="center"/>
    </w:pPr>
    <w:r>
      <w:rPr>
        <w:noProof/>
      </w:rPr>
      <w:drawing>
        <wp:anchor distT="0" distB="0" distL="0" distR="0" simplePos="0" relativeHeight="251659264" behindDoc="1" locked="0" layoutInCell="1" hidden="0" allowOverlap="1" wp14:anchorId="16EA070D" wp14:editId="07308AB1">
          <wp:simplePos x="0" y="0"/>
          <wp:positionH relativeFrom="page">
            <wp:posOffset>1595755</wp:posOffset>
          </wp:positionH>
          <wp:positionV relativeFrom="paragraph">
            <wp:posOffset>-123825</wp:posOffset>
          </wp:positionV>
          <wp:extent cx="4501661" cy="899356"/>
          <wp:effectExtent l="0" t="0" r="0" b="0"/>
          <wp:wrapNone/>
          <wp:docPr id="428924599" name="image1.jpg" descr="A group of black circles with white text"/>
          <wp:cNvGraphicFramePr/>
          <a:graphic xmlns:a="http://schemas.openxmlformats.org/drawingml/2006/main">
            <a:graphicData uri="http://schemas.openxmlformats.org/drawingml/2006/picture">
              <pic:pic xmlns:pic="http://schemas.openxmlformats.org/drawingml/2006/picture">
                <pic:nvPicPr>
                  <pic:cNvPr id="1097632263" name="image1.jpg" descr="A group of black circles with white text"/>
                  <pic:cNvPicPr preferRelativeResize="0"/>
                </pic:nvPicPr>
                <pic:blipFill>
                  <a:blip r:embed="rId1"/>
                  <a:srcRect/>
                  <a:stretch>
                    <a:fillRect/>
                  </a:stretch>
                </pic:blipFill>
                <pic:spPr>
                  <a:xfrm>
                    <a:off x="0" y="0"/>
                    <a:ext cx="4501661" cy="899356"/>
                  </a:xfrm>
                  <a:prstGeom prst="rect">
                    <a:avLst/>
                  </a:prstGeom>
                  <a:ln/>
                </pic:spPr>
              </pic:pic>
            </a:graphicData>
          </a:graphic>
          <wp14:sizeRelH relativeFrom="margin">
            <wp14:pctWidth>0</wp14:pctWidth>
          </wp14:sizeRelH>
          <wp14:sizeRelV relativeFrom="margin">
            <wp14:pctHeight>0</wp14:pctHeight>
          </wp14:sizeRelV>
        </wp:anchor>
      </w:drawing>
    </w:r>
  </w:p>
  <w:p w14:paraId="62EF2732" w14:textId="252E50CD" w:rsidR="002B5609" w:rsidRDefault="002B5609" w:rsidP="00434B60">
    <w:pPr>
      <w:pBdr>
        <w:top w:val="nil"/>
        <w:left w:val="nil"/>
        <w:bottom w:val="nil"/>
        <w:right w:val="nil"/>
        <w:between w:val="nil"/>
      </w:pBdr>
      <w:tabs>
        <w:tab w:val="center" w:pos="4153"/>
        <w:tab w:val="right" w:pos="8306"/>
      </w:tabs>
      <w:bidi/>
      <w:spacing w:after="0" w:line="240" w:lineRule="auto"/>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82478"/>
    <w:multiLevelType w:val="multilevel"/>
    <w:tmpl w:val="79BC7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1C0EBF"/>
    <w:multiLevelType w:val="hybridMultilevel"/>
    <w:tmpl w:val="86F4C918"/>
    <w:lvl w:ilvl="0" w:tplc="2040B600">
      <w:start w:val="1"/>
      <w:numFmt w:val="hebrew1"/>
      <w:lvlText w:val="%1."/>
      <w:lvlJc w:val="left"/>
      <w:pPr>
        <w:ind w:left="720" w:hanging="360"/>
      </w:pPr>
      <w:rPr>
        <w:rFonts w:asciiTheme="majorBidi" w:eastAsia="Calibri" w:hAnsiTheme="majorBid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FB44F3"/>
    <w:multiLevelType w:val="multilevel"/>
    <w:tmpl w:val="A628C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062622"/>
    <w:multiLevelType w:val="hybridMultilevel"/>
    <w:tmpl w:val="80CEFFE6"/>
    <w:lvl w:ilvl="0" w:tplc="E90E737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33E5F6B"/>
    <w:multiLevelType w:val="hybridMultilevel"/>
    <w:tmpl w:val="4ACE5870"/>
    <w:lvl w:ilvl="0" w:tplc="AA1A55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CE07B57"/>
    <w:multiLevelType w:val="hybridMultilevel"/>
    <w:tmpl w:val="646AB9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915768"/>
    <w:multiLevelType w:val="hybridMultilevel"/>
    <w:tmpl w:val="4FC236BE"/>
    <w:lvl w:ilvl="0" w:tplc="A5728C2E">
      <w:start w:val="1"/>
      <w:numFmt w:val="hebrew1"/>
      <w:lvlText w:val="%1."/>
      <w:lvlJc w:val="left"/>
      <w:pPr>
        <w:ind w:left="786" w:hanging="360"/>
      </w:pPr>
      <w:rPr>
        <w:rFonts w:asciiTheme="majorBidi" w:eastAsia="Calibri" w:hAnsiTheme="majorBidi" w:cstheme="majorBidi"/>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37E92D24"/>
    <w:multiLevelType w:val="multilevel"/>
    <w:tmpl w:val="19FA10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5C1E8A"/>
    <w:multiLevelType w:val="hybridMultilevel"/>
    <w:tmpl w:val="1480D74A"/>
    <w:lvl w:ilvl="0" w:tplc="7910DB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16C6774"/>
    <w:multiLevelType w:val="multilevel"/>
    <w:tmpl w:val="26A26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D91F2A"/>
    <w:multiLevelType w:val="multilevel"/>
    <w:tmpl w:val="8974B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D644C7"/>
    <w:multiLevelType w:val="hybridMultilevel"/>
    <w:tmpl w:val="85F6BF14"/>
    <w:lvl w:ilvl="0" w:tplc="2760D0EC">
      <w:start w:val="1"/>
      <w:numFmt w:val="hebrew1"/>
      <w:lvlText w:val="%1."/>
      <w:lvlJc w:val="left"/>
      <w:pPr>
        <w:ind w:left="497" w:hanging="360"/>
      </w:pPr>
      <w:rPr>
        <w:rFonts w:hint="default"/>
      </w:rPr>
    </w:lvl>
    <w:lvl w:ilvl="1" w:tplc="04090019" w:tentative="1">
      <w:start w:val="1"/>
      <w:numFmt w:val="lowerLetter"/>
      <w:lvlText w:val="%2."/>
      <w:lvlJc w:val="left"/>
      <w:pPr>
        <w:ind w:left="1217" w:hanging="360"/>
      </w:pPr>
    </w:lvl>
    <w:lvl w:ilvl="2" w:tplc="0409001B" w:tentative="1">
      <w:start w:val="1"/>
      <w:numFmt w:val="lowerRoman"/>
      <w:lvlText w:val="%3."/>
      <w:lvlJc w:val="right"/>
      <w:pPr>
        <w:ind w:left="1937" w:hanging="180"/>
      </w:pPr>
    </w:lvl>
    <w:lvl w:ilvl="3" w:tplc="0409000F" w:tentative="1">
      <w:start w:val="1"/>
      <w:numFmt w:val="decimal"/>
      <w:lvlText w:val="%4."/>
      <w:lvlJc w:val="left"/>
      <w:pPr>
        <w:ind w:left="2657" w:hanging="360"/>
      </w:pPr>
    </w:lvl>
    <w:lvl w:ilvl="4" w:tplc="04090019" w:tentative="1">
      <w:start w:val="1"/>
      <w:numFmt w:val="lowerLetter"/>
      <w:lvlText w:val="%5."/>
      <w:lvlJc w:val="left"/>
      <w:pPr>
        <w:ind w:left="3377" w:hanging="360"/>
      </w:pPr>
    </w:lvl>
    <w:lvl w:ilvl="5" w:tplc="0409001B" w:tentative="1">
      <w:start w:val="1"/>
      <w:numFmt w:val="lowerRoman"/>
      <w:lvlText w:val="%6."/>
      <w:lvlJc w:val="right"/>
      <w:pPr>
        <w:ind w:left="4097" w:hanging="180"/>
      </w:pPr>
    </w:lvl>
    <w:lvl w:ilvl="6" w:tplc="0409000F" w:tentative="1">
      <w:start w:val="1"/>
      <w:numFmt w:val="decimal"/>
      <w:lvlText w:val="%7."/>
      <w:lvlJc w:val="left"/>
      <w:pPr>
        <w:ind w:left="4817" w:hanging="360"/>
      </w:pPr>
    </w:lvl>
    <w:lvl w:ilvl="7" w:tplc="04090019" w:tentative="1">
      <w:start w:val="1"/>
      <w:numFmt w:val="lowerLetter"/>
      <w:lvlText w:val="%8."/>
      <w:lvlJc w:val="left"/>
      <w:pPr>
        <w:ind w:left="5537" w:hanging="360"/>
      </w:pPr>
    </w:lvl>
    <w:lvl w:ilvl="8" w:tplc="0409001B" w:tentative="1">
      <w:start w:val="1"/>
      <w:numFmt w:val="lowerRoman"/>
      <w:lvlText w:val="%9."/>
      <w:lvlJc w:val="right"/>
      <w:pPr>
        <w:ind w:left="6257" w:hanging="180"/>
      </w:pPr>
    </w:lvl>
  </w:abstractNum>
  <w:abstractNum w:abstractNumId="12" w15:restartNumberingAfterBreak="0">
    <w:nsid w:val="6C710CDB"/>
    <w:multiLevelType w:val="hybridMultilevel"/>
    <w:tmpl w:val="B958E152"/>
    <w:lvl w:ilvl="0" w:tplc="FCA0081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7E5CBD"/>
    <w:multiLevelType w:val="multilevel"/>
    <w:tmpl w:val="0F663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7709271">
    <w:abstractNumId w:val="3"/>
  </w:num>
  <w:num w:numId="2" w16cid:durableId="783697629">
    <w:abstractNumId w:val="1"/>
  </w:num>
  <w:num w:numId="3" w16cid:durableId="12730440">
    <w:abstractNumId w:val="11"/>
  </w:num>
  <w:num w:numId="4" w16cid:durableId="1862356999">
    <w:abstractNumId w:val="6"/>
  </w:num>
  <w:num w:numId="5" w16cid:durableId="1539395766">
    <w:abstractNumId w:val="12"/>
  </w:num>
  <w:num w:numId="6" w16cid:durableId="675771043">
    <w:abstractNumId w:val="4"/>
  </w:num>
  <w:num w:numId="7" w16cid:durableId="2022121759">
    <w:abstractNumId w:val="5"/>
  </w:num>
  <w:num w:numId="8" w16cid:durableId="358553634">
    <w:abstractNumId w:val="8"/>
  </w:num>
  <w:num w:numId="9" w16cid:durableId="1200701107">
    <w:abstractNumId w:val="13"/>
  </w:num>
  <w:num w:numId="10" w16cid:durableId="1617953376">
    <w:abstractNumId w:val="2"/>
  </w:num>
  <w:num w:numId="11" w16cid:durableId="721365797">
    <w:abstractNumId w:val="9"/>
  </w:num>
  <w:num w:numId="12" w16cid:durableId="449785007">
    <w:abstractNumId w:val="10"/>
  </w:num>
  <w:num w:numId="13" w16cid:durableId="1971593275">
    <w:abstractNumId w:val="0"/>
  </w:num>
  <w:num w:numId="14" w16cid:durableId="19776799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609"/>
    <w:rsid w:val="00055BE7"/>
    <w:rsid w:val="000727EE"/>
    <w:rsid w:val="000A5FD5"/>
    <w:rsid w:val="000A6A3F"/>
    <w:rsid w:val="000C486A"/>
    <w:rsid w:val="000D2F98"/>
    <w:rsid w:val="000E21C1"/>
    <w:rsid w:val="000E6DB5"/>
    <w:rsid w:val="000F6A6F"/>
    <w:rsid w:val="00133AD7"/>
    <w:rsid w:val="00164E0D"/>
    <w:rsid w:val="001A170E"/>
    <w:rsid w:val="001A56EE"/>
    <w:rsid w:val="001C2FCD"/>
    <w:rsid w:val="001E0916"/>
    <w:rsid w:val="001E3DD7"/>
    <w:rsid w:val="002043E5"/>
    <w:rsid w:val="00213CFD"/>
    <w:rsid w:val="00246F91"/>
    <w:rsid w:val="00260154"/>
    <w:rsid w:val="002820AB"/>
    <w:rsid w:val="002B5609"/>
    <w:rsid w:val="002E710F"/>
    <w:rsid w:val="00395779"/>
    <w:rsid w:val="003B61AD"/>
    <w:rsid w:val="003C42A1"/>
    <w:rsid w:val="003F1104"/>
    <w:rsid w:val="00430693"/>
    <w:rsid w:val="00434B60"/>
    <w:rsid w:val="004356D0"/>
    <w:rsid w:val="00450B69"/>
    <w:rsid w:val="004718E8"/>
    <w:rsid w:val="0047245B"/>
    <w:rsid w:val="004802E9"/>
    <w:rsid w:val="0049236F"/>
    <w:rsid w:val="004A7AB8"/>
    <w:rsid w:val="004C3C18"/>
    <w:rsid w:val="004D63EB"/>
    <w:rsid w:val="005531B2"/>
    <w:rsid w:val="00557E23"/>
    <w:rsid w:val="005675C5"/>
    <w:rsid w:val="005E3BFA"/>
    <w:rsid w:val="006160FC"/>
    <w:rsid w:val="006262DB"/>
    <w:rsid w:val="0064163B"/>
    <w:rsid w:val="006E0E5D"/>
    <w:rsid w:val="006E3FE8"/>
    <w:rsid w:val="006F07FC"/>
    <w:rsid w:val="006F624F"/>
    <w:rsid w:val="00700BF6"/>
    <w:rsid w:val="007068FE"/>
    <w:rsid w:val="00706F04"/>
    <w:rsid w:val="007228C5"/>
    <w:rsid w:val="007230A0"/>
    <w:rsid w:val="00724704"/>
    <w:rsid w:val="0073694D"/>
    <w:rsid w:val="007568CB"/>
    <w:rsid w:val="00765EC4"/>
    <w:rsid w:val="007762F3"/>
    <w:rsid w:val="00780183"/>
    <w:rsid w:val="00783D2D"/>
    <w:rsid w:val="00794693"/>
    <w:rsid w:val="007A2B69"/>
    <w:rsid w:val="007E1BB5"/>
    <w:rsid w:val="007E206C"/>
    <w:rsid w:val="007E3E23"/>
    <w:rsid w:val="007F089E"/>
    <w:rsid w:val="007F5E1F"/>
    <w:rsid w:val="00804785"/>
    <w:rsid w:val="00841480"/>
    <w:rsid w:val="00843D47"/>
    <w:rsid w:val="008644CE"/>
    <w:rsid w:val="008A4CB0"/>
    <w:rsid w:val="008B6075"/>
    <w:rsid w:val="008E77CF"/>
    <w:rsid w:val="008F46BA"/>
    <w:rsid w:val="00902281"/>
    <w:rsid w:val="00922096"/>
    <w:rsid w:val="00924773"/>
    <w:rsid w:val="009572EE"/>
    <w:rsid w:val="00960CA0"/>
    <w:rsid w:val="00967D2B"/>
    <w:rsid w:val="009B1053"/>
    <w:rsid w:val="009F32E6"/>
    <w:rsid w:val="00A02F5F"/>
    <w:rsid w:val="00A10080"/>
    <w:rsid w:val="00A43141"/>
    <w:rsid w:val="00AB4607"/>
    <w:rsid w:val="00AE1A66"/>
    <w:rsid w:val="00B27A7C"/>
    <w:rsid w:val="00B31B48"/>
    <w:rsid w:val="00B37DDB"/>
    <w:rsid w:val="00B44142"/>
    <w:rsid w:val="00B46A68"/>
    <w:rsid w:val="00B54D4A"/>
    <w:rsid w:val="00B908F1"/>
    <w:rsid w:val="00C060D2"/>
    <w:rsid w:val="00C20FAA"/>
    <w:rsid w:val="00C23949"/>
    <w:rsid w:val="00C33CDF"/>
    <w:rsid w:val="00C3556B"/>
    <w:rsid w:val="00C433BA"/>
    <w:rsid w:val="00C77FFB"/>
    <w:rsid w:val="00CD2DA4"/>
    <w:rsid w:val="00CE348F"/>
    <w:rsid w:val="00CE5EE7"/>
    <w:rsid w:val="00D04978"/>
    <w:rsid w:val="00D10992"/>
    <w:rsid w:val="00D140AC"/>
    <w:rsid w:val="00D64BE8"/>
    <w:rsid w:val="00DA7615"/>
    <w:rsid w:val="00DB471C"/>
    <w:rsid w:val="00DC79C7"/>
    <w:rsid w:val="00E1554D"/>
    <w:rsid w:val="00E53CCA"/>
    <w:rsid w:val="00E97373"/>
    <w:rsid w:val="00EC51E3"/>
    <w:rsid w:val="00EC714D"/>
    <w:rsid w:val="00ED46A9"/>
    <w:rsid w:val="00EE2320"/>
    <w:rsid w:val="00EE532B"/>
    <w:rsid w:val="00F550E0"/>
    <w:rsid w:val="00F721CC"/>
    <w:rsid w:val="00F73305"/>
    <w:rsid w:val="00FE333C"/>
    <w:rsid w:val="00FF025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7D590"/>
  <w15:docId w15:val="{D6F048E8-72AF-4699-92B9-9A2C06380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8C1854"/>
    <w:pPr>
      <w:tabs>
        <w:tab w:val="center" w:pos="4153"/>
        <w:tab w:val="right" w:pos="8306"/>
      </w:tabs>
      <w:bidi/>
      <w:spacing w:after="0" w:line="240" w:lineRule="auto"/>
    </w:pPr>
  </w:style>
  <w:style w:type="character" w:customStyle="1" w:styleId="HeaderChar">
    <w:name w:val="Header Char"/>
    <w:basedOn w:val="DefaultParagraphFont"/>
    <w:link w:val="Header"/>
    <w:uiPriority w:val="99"/>
    <w:rsid w:val="008C1854"/>
  </w:style>
  <w:style w:type="paragraph" w:styleId="Footer">
    <w:name w:val="footer"/>
    <w:basedOn w:val="Normal"/>
    <w:link w:val="FooterChar"/>
    <w:uiPriority w:val="99"/>
    <w:unhideWhenUsed/>
    <w:rsid w:val="008C1854"/>
    <w:pPr>
      <w:tabs>
        <w:tab w:val="center" w:pos="4153"/>
        <w:tab w:val="right" w:pos="8306"/>
      </w:tabs>
      <w:bidi/>
      <w:spacing w:after="0" w:line="240" w:lineRule="auto"/>
    </w:pPr>
  </w:style>
  <w:style w:type="character" w:customStyle="1" w:styleId="FooterChar">
    <w:name w:val="Footer Char"/>
    <w:basedOn w:val="DefaultParagraphFont"/>
    <w:link w:val="Footer"/>
    <w:uiPriority w:val="99"/>
    <w:rsid w:val="008C1854"/>
  </w:style>
  <w:style w:type="paragraph" w:styleId="BalloonText">
    <w:name w:val="Balloon Text"/>
    <w:basedOn w:val="Normal"/>
    <w:link w:val="BalloonTextChar"/>
    <w:uiPriority w:val="99"/>
    <w:semiHidden/>
    <w:unhideWhenUsed/>
    <w:rsid w:val="008C1854"/>
    <w:pPr>
      <w:bidi/>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C1854"/>
    <w:rPr>
      <w:rFonts w:ascii="Tahoma" w:hAnsi="Tahoma" w:cs="Tahoma"/>
      <w:sz w:val="16"/>
      <w:szCs w:val="16"/>
    </w:rPr>
  </w:style>
  <w:style w:type="paragraph" w:styleId="PlainText">
    <w:name w:val="Plain Text"/>
    <w:basedOn w:val="Normal"/>
    <w:link w:val="PlainTextChar"/>
    <w:uiPriority w:val="99"/>
    <w:semiHidden/>
    <w:unhideWhenUsed/>
    <w:rsid w:val="00737D54"/>
    <w:pPr>
      <w:spacing w:after="0" w:line="240" w:lineRule="auto"/>
    </w:pPr>
    <w:rPr>
      <w:rFonts w:ascii="Arial" w:hAnsi="Arial"/>
      <w:sz w:val="28"/>
      <w:szCs w:val="28"/>
    </w:rPr>
  </w:style>
  <w:style w:type="character" w:customStyle="1" w:styleId="PlainTextChar">
    <w:name w:val="Plain Text Char"/>
    <w:link w:val="PlainText"/>
    <w:uiPriority w:val="99"/>
    <w:semiHidden/>
    <w:rsid w:val="00737D54"/>
    <w:rPr>
      <w:rFonts w:ascii="Arial" w:hAnsi="Arial" w:cs="Arial"/>
      <w:sz w:val="28"/>
      <w:szCs w:val="28"/>
    </w:rPr>
  </w:style>
  <w:style w:type="paragraph" w:customStyle="1" w:styleId="Flietext">
    <w:name w:val="Fließtext"/>
    <w:basedOn w:val="Normal"/>
    <w:rsid w:val="00F21215"/>
    <w:pPr>
      <w:spacing w:after="0" w:line="330" w:lineRule="exact"/>
      <w:jc w:val="both"/>
    </w:pPr>
    <w:rPr>
      <w:rFonts w:ascii="Arial" w:hAnsi="Arial" w:cs="Times New Roman"/>
      <w:szCs w:val="20"/>
      <w:lang w:val="de-DE" w:eastAsia="de-DE" w:bidi="ar-SA"/>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odyText">
    <w:name w:val="Body Text"/>
    <w:basedOn w:val="Normal"/>
    <w:link w:val="BodyTextChar"/>
    <w:uiPriority w:val="1"/>
    <w:qFormat/>
    <w:rsid w:val="000727EE"/>
    <w:pPr>
      <w:widowControl w:val="0"/>
      <w:autoSpaceDE w:val="0"/>
      <w:autoSpaceDN w:val="0"/>
      <w:spacing w:after="0" w:line="240" w:lineRule="auto"/>
      <w:ind w:left="356"/>
      <w:jc w:val="right"/>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0727EE"/>
    <w:rPr>
      <w:rFonts w:ascii="Times New Roman" w:eastAsia="Times New Roman" w:hAnsi="Times New Roman" w:cs="Times New Roman"/>
      <w:sz w:val="24"/>
      <w:szCs w:val="24"/>
    </w:rPr>
  </w:style>
  <w:style w:type="paragraph" w:styleId="ListParagraph">
    <w:name w:val="List Paragraph"/>
    <w:basedOn w:val="Normal"/>
    <w:uiPriority w:val="34"/>
    <w:qFormat/>
    <w:rsid w:val="000727EE"/>
    <w:pPr>
      <w:widowControl w:val="0"/>
      <w:autoSpaceDE w:val="0"/>
      <w:autoSpaceDN w:val="0"/>
      <w:spacing w:after="0" w:line="240" w:lineRule="auto"/>
    </w:pPr>
    <w:rPr>
      <w:rFonts w:ascii="Times New Roman" w:eastAsia="Times New Roman" w:hAnsi="Times New Roman" w:cs="Times New Roman"/>
    </w:rPr>
  </w:style>
  <w:style w:type="character" w:styleId="Hyperlink">
    <w:name w:val="Hyperlink"/>
    <w:basedOn w:val="DefaultParagraphFont"/>
    <w:uiPriority w:val="99"/>
    <w:unhideWhenUsed/>
    <w:rsid w:val="00A43141"/>
    <w:rPr>
      <w:color w:val="0000FF" w:themeColor="hyperlink"/>
      <w:u w:val="single"/>
    </w:rPr>
  </w:style>
  <w:style w:type="character" w:styleId="UnresolvedMention">
    <w:name w:val="Unresolved Mention"/>
    <w:basedOn w:val="DefaultParagraphFont"/>
    <w:uiPriority w:val="99"/>
    <w:semiHidden/>
    <w:unhideWhenUsed/>
    <w:rsid w:val="00A43141"/>
    <w:rPr>
      <w:color w:val="605E5C"/>
      <w:shd w:val="clear" w:color="auto" w:fill="E1DFDD"/>
    </w:rPr>
  </w:style>
  <w:style w:type="paragraph" w:styleId="Revision">
    <w:name w:val="Revision"/>
    <w:hidden/>
    <w:uiPriority w:val="99"/>
    <w:semiHidden/>
    <w:rsid w:val="00AE1A66"/>
    <w:pPr>
      <w:spacing w:after="0" w:line="240" w:lineRule="auto"/>
    </w:pPr>
  </w:style>
  <w:style w:type="character" w:styleId="CommentReference">
    <w:name w:val="annotation reference"/>
    <w:basedOn w:val="DefaultParagraphFont"/>
    <w:uiPriority w:val="99"/>
    <w:semiHidden/>
    <w:unhideWhenUsed/>
    <w:rsid w:val="00724704"/>
    <w:rPr>
      <w:sz w:val="16"/>
      <w:szCs w:val="16"/>
    </w:rPr>
  </w:style>
  <w:style w:type="paragraph" w:styleId="CommentText">
    <w:name w:val="annotation text"/>
    <w:basedOn w:val="Normal"/>
    <w:link w:val="CommentTextChar"/>
    <w:uiPriority w:val="99"/>
    <w:unhideWhenUsed/>
    <w:rsid w:val="00724704"/>
    <w:pPr>
      <w:spacing w:line="240" w:lineRule="auto"/>
    </w:pPr>
    <w:rPr>
      <w:sz w:val="20"/>
      <w:szCs w:val="20"/>
    </w:rPr>
  </w:style>
  <w:style w:type="character" w:customStyle="1" w:styleId="CommentTextChar">
    <w:name w:val="Comment Text Char"/>
    <w:basedOn w:val="DefaultParagraphFont"/>
    <w:link w:val="CommentText"/>
    <w:uiPriority w:val="99"/>
    <w:rsid w:val="00724704"/>
    <w:rPr>
      <w:sz w:val="20"/>
      <w:szCs w:val="20"/>
    </w:rPr>
  </w:style>
  <w:style w:type="paragraph" w:styleId="CommentSubject">
    <w:name w:val="annotation subject"/>
    <w:basedOn w:val="CommentText"/>
    <w:next w:val="CommentText"/>
    <w:link w:val="CommentSubjectChar"/>
    <w:uiPriority w:val="99"/>
    <w:semiHidden/>
    <w:unhideWhenUsed/>
    <w:rsid w:val="00724704"/>
    <w:rPr>
      <w:b/>
      <w:bCs/>
    </w:rPr>
  </w:style>
  <w:style w:type="character" w:customStyle="1" w:styleId="CommentSubjectChar">
    <w:name w:val="Comment Subject Char"/>
    <w:basedOn w:val="CommentTextChar"/>
    <w:link w:val="CommentSubject"/>
    <w:uiPriority w:val="99"/>
    <w:semiHidden/>
    <w:rsid w:val="00724704"/>
    <w:rPr>
      <w:b/>
      <w:bCs/>
      <w:sz w:val="20"/>
      <w:szCs w:val="20"/>
    </w:rPr>
  </w:style>
  <w:style w:type="character" w:styleId="FollowedHyperlink">
    <w:name w:val="FollowedHyperlink"/>
    <w:basedOn w:val="DefaultParagraphFont"/>
    <w:uiPriority w:val="99"/>
    <w:semiHidden/>
    <w:unhideWhenUsed/>
    <w:rsid w:val="00FE33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777496">
      <w:bodyDiv w:val="1"/>
      <w:marLeft w:val="0"/>
      <w:marRight w:val="0"/>
      <w:marTop w:val="0"/>
      <w:marBottom w:val="0"/>
      <w:divBdr>
        <w:top w:val="none" w:sz="0" w:space="0" w:color="auto"/>
        <w:left w:val="none" w:sz="0" w:space="0" w:color="auto"/>
        <w:bottom w:val="none" w:sz="0" w:space="0" w:color="auto"/>
        <w:right w:val="none" w:sz="0" w:space="0" w:color="auto"/>
      </w:divBdr>
    </w:div>
    <w:div w:id="901983896">
      <w:bodyDiv w:val="1"/>
      <w:marLeft w:val="0"/>
      <w:marRight w:val="0"/>
      <w:marTop w:val="0"/>
      <w:marBottom w:val="0"/>
      <w:divBdr>
        <w:top w:val="none" w:sz="0" w:space="0" w:color="auto"/>
        <w:left w:val="none" w:sz="0" w:space="0" w:color="auto"/>
        <w:bottom w:val="none" w:sz="0" w:space="0" w:color="auto"/>
        <w:right w:val="none" w:sz="0" w:space="0" w:color="auto"/>
      </w:divBdr>
    </w:div>
    <w:div w:id="1063257476">
      <w:bodyDiv w:val="1"/>
      <w:marLeft w:val="0"/>
      <w:marRight w:val="0"/>
      <w:marTop w:val="0"/>
      <w:marBottom w:val="0"/>
      <w:divBdr>
        <w:top w:val="none" w:sz="0" w:space="0" w:color="auto"/>
        <w:left w:val="none" w:sz="0" w:space="0" w:color="auto"/>
        <w:bottom w:val="none" w:sz="0" w:space="0" w:color="auto"/>
        <w:right w:val="none" w:sz="0" w:space="0" w:color="auto"/>
      </w:divBdr>
    </w:div>
    <w:div w:id="20362999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docs.google.com/forms/d/1nW6k1619WfnxC7xrCv57FVnDLmUw8nvVvuIXlCjMGHw/edit" TargetMode="External"/><Relationship Id="rId4" Type="http://schemas.openxmlformats.org/officeDocument/2006/relationships/styles" Target="styles.xml"/><Relationship Id="rId9" Type="http://schemas.openxmlformats.org/officeDocument/2006/relationships/hyperlink" Target="mailto:hillaeiny@tauex.tau.ac.il"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9qP836ue5/MPo0fBjeGVBZbEeA==">CgMxLjA4AHIhMS1VUk1kbDBUZG14T053TjEzcUZJcTJXNkNKSGNZTXNr</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767A911-AE27-40BB-8C07-39434F31A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604</Words>
  <Characters>3443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Hilla Einy</cp:lastModifiedBy>
  <cp:revision>8</cp:revision>
  <dcterms:created xsi:type="dcterms:W3CDTF">2026-06-14T09:07:00Z</dcterms:created>
  <dcterms:modified xsi:type="dcterms:W3CDTF">2026-06-14T13:53:00Z</dcterms:modified>
</cp:coreProperties>
</file>